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A4" w:rsidRDefault="00D643A4" w:rsidP="00D643A4">
      <w:pPr>
        <w:spacing w:line="360" w:lineRule="auto"/>
        <w:jc w:val="center"/>
        <w:rPr>
          <w:rFonts w:ascii="David" w:hAnsi="David" w:cs="David"/>
          <w:b/>
          <w:bCs/>
          <w:sz w:val="24"/>
          <w:rtl/>
        </w:rPr>
      </w:pPr>
      <w:r>
        <w:rPr>
          <w:rFonts w:ascii="David" w:hAnsi="David" w:cs="David"/>
          <w:b/>
          <w:bCs/>
          <w:sz w:val="24"/>
          <w:rtl/>
        </w:rPr>
        <w:t>דף הנחיות לכותבים</w:t>
      </w:r>
    </w:p>
    <w:p w:rsidR="00D643A4" w:rsidRDefault="00D643A4" w:rsidP="00D643A4">
      <w:pPr>
        <w:spacing w:line="360" w:lineRule="auto"/>
        <w:jc w:val="center"/>
        <w:rPr>
          <w:rFonts w:ascii="David" w:hAnsi="David" w:cs="David"/>
          <w:b/>
          <w:bCs/>
          <w:sz w:val="24"/>
          <w:rtl/>
        </w:rPr>
      </w:pPr>
    </w:p>
    <w:p w:rsidR="00D643A4" w:rsidRDefault="00D643A4" w:rsidP="00D643A4">
      <w:pPr>
        <w:pStyle w:val="a5"/>
        <w:rPr>
          <w:rFonts w:ascii="David" w:hAnsi="David"/>
          <w:rtl/>
        </w:rPr>
      </w:pPr>
      <w:r>
        <w:rPr>
          <w:rFonts w:ascii="David" w:hAnsi="David"/>
          <w:rtl/>
        </w:rPr>
        <w:t>"</w:t>
      </w:r>
      <w:r w:rsidRPr="00D643A4">
        <w:rPr>
          <w:rFonts w:ascii="David" w:hAnsi="David"/>
          <w:b/>
          <w:bCs/>
          <w:u w:val="single"/>
          <w:rtl/>
        </w:rPr>
        <w:t xml:space="preserve">הגות </w:t>
      </w:r>
      <w:r w:rsidRPr="00D643A4">
        <w:rPr>
          <w:rFonts w:ascii="David" w:hAnsi="David" w:hint="cs"/>
          <w:b/>
          <w:bCs/>
          <w:u w:val="single"/>
          <w:rtl/>
        </w:rPr>
        <w:t>– מחקרים בהגות ה</w:t>
      </w:r>
      <w:r w:rsidRPr="00D643A4">
        <w:rPr>
          <w:rFonts w:ascii="David" w:hAnsi="David"/>
          <w:b/>
          <w:bCs/>
          <w:u w:val="single"/>
          <w:rtl/>
        </w:rPr>
        <w:t>חינוך היהודי</w:t>
      </w:r>
      <w:r>
        <w:rPr>
          <w:rFonts w:ascii="David" w:hAnsi="David"/>
          <w:rtl/>
        </w:rPr>
        <w:t xml:space="preserve">" הוא כתב עת אקדמי היוצא על ידי </w:t>
      </w:r>
      <w:r>
        <w:rPr>
          <w:rFonts w:ascii="David" w:hAnsi="David" w:hint="cs"/>
          <w:rtl/>
        </w:rPr>
        <w:t xml:space="preserve">המכללה האקדמית הרצוג מיסודן של מכללת הרצוג ומכללת </w:t>
      </w:r>
      <w:r>
        <w:rPr>
          <w:rFonts w:ascii="David" w:hAnsi="David"/>
          <w:rtl/>
        </w:rPr>
        <w:t>ליפשיץ.</w:t>
      </w:r>
    </w:p>
    <w:p w:rsidR="00D643A4" w:rsidRDefault="00D643A4" w:rsidP="00D643A4">
      <w:pPr>
        <w:spacing w:line="360" w:lineRule="auto"/>
        <w:rPr>
          <w:rFonts w:ascii="David" w:hAnsi="David" w:cs="David"/>
          <w:rtl/>
        </w:rPr>
      </w:pPr>
    </w:p>
    <w:p w:rsidR="00D643A4" w:rsidRDefault="00D643A4" w:rsidP="00D643A4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אנו מבקשים להגיש את כתבי היד לפי ההנחיות שלהלן:</w:t>
      </w:r>
    </w:p>
    <w:p w:rsidR="00D643A4" w:rsidRDefault="00D643A4" w:rsidP="00D643A4">
      <w:pPr>
        <w:numPr>
          <w:ilvl w:val="0"/>
          <w:numId w:val="1"/>
        </w:numPr>
        <w:spacing w:line="360" w:lineRule="auto"/>
        <w:ind w:right="360"/>
        <w:rPr>
          <w:rFonts w:ascii="David" w:hAnsi="David" w:cs="David"/>
          <w:b/>
          <w:bCs/>
          <w:i/>
          <w:iCs/>
          <w:rtl/>
        </w:rPr>
      </w:pPr>
      <w:r>
        <w:rPr>
          <w:rFonts w:ascii="David" w:hAnsi="David" w:cs="David"/>
          <w:b/>
          <w:bCs/>
          <w:i/>
          <w:iCs/>
          <w:rtl/>
        </w:rPr>
        <w:t>הדפסה והגשה</w:t>
      </w:r>
    </w:p>
    <w:p w:rsidR="00D643A4" w:rsidRDefault="00D643A4" w:rsidP="00D643A4">
      <w:pPr>
        <w:spacing w:line="360" w:lineRule="auto"/>
        <w:ind w:left="508" w:hanging="148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1. יש להגיש את כתבי היד של המאמרים בדוא"ל</w:t>
      </w:r>
      <w:r>
        <w:rPr>
          <w:rFonts w:ascii="David" w:hAnsi="David" w:cs="David" w:hint="cs"/>
          <w:rtl/>
        </w:rPr>
        <w:t xml:space="preserve">, לכתובת: </w:t>
      </w:r>
      <w:hyperlink r:id="rId7" w:history="1">
        <w:r w:rsidRPr="004F5B55">
          <w:rPr>
            <w:rStyle w:val="Hyperlink"/>
            <w:rFonts w:ascii="David" w:hAnsi="David" w:cs="David"/>
          </w:rPr>
          <w:t>hagut@herzog.ac.il</w:t>
        </w:r>
      </w:hyperlink>
      <w:r>
        <w:rPr>
          <w:rFonts w:ascii="David" w:hAnsi="David" w:cs="David" w:hint="cs"/>
          <w:rtl/>
        </w:rPr>
        <w:t xml:space="preserve">, מוקלד </w:t>
      </w:r>
      <w:r>
        <w:rPr>
          <w:rFonts w:ascii="David" w:hAnsi="David" w:cs="David"/>
          <w:rtl/>
        </w:rPr>
        <w:t>בתוכנת</w:t>
      </w:r>
      <w:r>
        <w:rPr>
          <w:rFonts w:cs="David"/>
        </w:rPr>
        <w:t xml:space="preserve">  </w:t>
      </w:r>
      <w:r>
        <w:rPr>
          <w:rFonts w:ascii="David" w:hAnsi="David" w:cs="David"/>
          <w:rtl/>
        </w:rPr>
        <w:t xml:space="preserve"> </w:t>
      </w:r>
      <w:r>
        <w:rPr>
          <w:rFonts w:cs="David"/>
          <w:noProof w:val="0"/>
        </w:rPr>
        <w:t>word</w:t>
      </w:r>
      <w:r>
        <w:rPr>
          <w:rFonts w:ascii="David" w:hAnsi="David" w:cs="David"/>
          <w:rtl/>
        </w:rPr>
        <w:t>.</w:t>
      </w:r>
    </w:p>
    <w:p w:rsidR="00D643A4" w:rsidRDefault="00D643A4" w:rsidP="00D643A4">
      <w:pPr>
        <w:spacing w:line="360" w:lineRule="auto"/>
        <w:ind w:left="360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2. גוף המאמר, וכן ההערות, נספחים וכיו"ב, יו</w:t>
      </w:r>
      <w:r>
        <w:rPr>
          <w:rFonts w:ascii="David" w:hAnsi="David" w:cs="David" w:hint="cs"/>
          <w:rtl/>
        </w:rPr>
        <w:t>קלדו</w:t>
      </w:r>
      <w:r>
        <w:rPr>
          <w:rFonts w:ascii="David" w:hAnsi="David" w:cs="David"/>
          <w:rtl/>
        </w:rPr>
        <w:t xml:space="preserve"> ברווח </w:t>
      </w:r>
      <w:r>
        <w:rPr>
          <w:rFonts w:ascii="David" w:hAnsi="David" w:cs="David" w:hint="cs"/>
          <w:u w:val="single"/>
          <w:rtl/>
        </w:rPr>
        <w:t>כפול</w:t>
      </w:r>
      <w:r>
        <w:rPr>
          <w:rFonts w:ascii="David" w:hAnsi="David" w:cs="David"/>
          <w:rtl/>
        </w:rPr>
        <w:t xml:space="preserve"> בין השורות.</w:t>
      </w:r>
    </w:p>
    <w:p w:rsidR="00D643A4" w:rsidRDefault="00D643A4" w:rsidP="00D643A4">
      <w:pPr>
        <w:spacing w:line="360" w:lineRule="auto"/>
        <w:rPr>
          <w:rFonts w:cs="David"/>
          <w:b/>
          <w:bCs/>
          <w:i/>
          <w:iCs/>
          <w:rtl/>
        </w:rPr>
      </w:pPr>
      <w:r>
        <w:rPr>
          <w:rFonts w:ascii="David" w:hAnsi="David" w:cs="David"/>
          <w:b/>
          <w:bCs/>
          <w:i/>
          <w:iCs/>
          <w:rtl/>
        </w:rPr>
        <w:t>ב.   תקצירים</w:t>
      </w:r>
    </w:p>
    <w:p w:rsidR="00D643A4" w:rsidRDefault="00D643A4" w:rsidP="00D643A4">
      <w:pPr>
        <w:spacing w:line="360" w:lineRule="auto"/>
        <w:ind w:left="366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למאמר יש לצרף תקצירים בעברית ובאנגלית בהיקף של</w:t>
      </w:r>
      <w:r>
        <w:rPr>
          <w:rFonts w:ascii="David" w:hAnsi="David" w:cs="David" w:hint="cs"/>
          <w:rtl/>
        </w:rPr>
        <w:t xml:space="preserve"> כ-2</w:t>
      </w:r>
      <w:r>
        <w:rPr>
          <w:rFonts w:ascii="David" w:hAnsi="David" w:cs="David"/>
          <w:rtl/>
        </w:rPr>
        <w:t>50 מילים, כולל שם הכותב ושם המאמר גם בעברית ובאנגלית.</w:t>
      </w:r>
    </w:p>
    <w:p w:rsidR="00D643A4" w:rsidRDefault="00D643A4" w:rsidP="00D643A4">
      <w:pPr>
        <w:spacing w:line="360" w:lineRule="auto"/>
        <w:rPr>
          <w:rFonts w:cs="David"/>
          <w:b/>
          <w:bCs/>
          <w:i/>
          <w:iCs/>
        </w:rPr>
      </w:pPr>
      <w:r>
        <w:rPr>
          <w:rFonts w:ascii="David" w:hAnsi="David" w:cs="David"/>
          <w:b/>
          <w:bCs/>
          <w:i/>
          <w:iCs/>
          <w:rtl/>
        </w:rPr>
        <w:t>ג.    כותרות</w:t>
      </w:r>
    </w:p>
    <w:p w:rsidR="00D643A4" w:rsidRDefault="00D643A4" w:rsidP="00D643A4">
      <w:pPr>
        <w:spacing w:line="360" w:lineRule="auto"/>
        <w:ind w:left="366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הכותרות וכותרות המשנה </w:t>
      </w:r>
      <w:r>
        <w:rPr>
          <w:rFonts w:ascii="David" w:hAnsi="David" w:cs="David" w:hint="cs"/>
          <w:rtl/>
        </w:rPr>
        <w:t xml:space="preserve">יופיעו </w:t>
      </w:r>
      <w:r>
        <w:rPr>
          <w:rFonts w:ascii="David" w:hAnsi="David" w:cs="David"/>
          <w:rtl/>
        </w:rPr>
        <w:t xml:space="preserve">בכתב היד בהדגשה. </w:t>
      </w:r>
    </w:p>
    <w:p w:rsidR="00D643A4" w:rsidRDefault="00D643A4" w:rsidP="00D643A4">
      <w:pPr>
        <w:spacing w:line="360" w:lineRule="auto"/>
        <w:rPr>
          <w:rFonts w:cs="David"/>
          <w:b/>
          <w:bCs/>
          <w:i/>
          <w:iCs/>
        </w:rPr>
      </w:pPr>
      <w:r>
        <w:rPr>
          <w:rFonts w:ascii="David" w:hAnsi="David" w:cs="David"/>
          <w:b/>
          <w:bCs/>
          <w:i/>
          <w:iCs/>
          <w:rtl/>
        </w:rPr>
        <w:t>ד.    כתיב חסר-ניקוד</w:t>
      </w:r>
    </w:p>
    <w:p w:rsidR="00D643A4" w:rsidRDefault="00D643A4" w:rsidP="00D643A4">
      <w:pPr>
        <w:spacing w:line="360" w:lineRule="auto"/>
        <w:ind w:left="366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אנא הקפידו על כללי הכתיב חסר הניקוד לפי החלטות האקדמיה ללשון העברית. תוך גמישות המתבקשת מרהיטות הקריאה. מומלץ להיעזר בכללים שפורסמו ב"לשוננו לעם", חוברת מיוחדת, התשס"ב.</w:t>
      </w:r>
    </w:p>
    <w:p w:rsidR="00D643A4" w:rsidRDefault="00D643A4" w:rsidP="00D643A4">
      <w:pPr>
        <w:numPr>
          <w:ilvl w:val="0"/>
          <w:numId w:val="2"/>
        </w:numPr>
        <w:spacing w:line="360" w:lineRule="auto"/>
        <w:rPr>
          <w:rFonts w:ascii="David" w:hAnsi="David" w:cs="David"/>
          <w:b/>
          <w:bCs/>
          <w:i/>
          <w:iCs/>
        </w:rPr>
      </w:pPr>
      <w:r>
        <w:rPr>
          <w:rFonts w:ascii="David" w:hAnsi="David" w:cs="David"/>
          <w:b/>
          <w:bCs/>
          <w:i/>
          <w:iCs/>
          <w:rtl/>
        </w:rPr>
        <w:t>ראשי תיבות</w:t>
      </w:r>
      <w:r>
        <w:rPr>
          <w:rFonts w:ascii="David" w:hAnsi="David" w:cs="David"/>
          <w:rtl/>
        </w:rPr>
        <w:t xml:space="preserve">                                                                                                                                      יש למעט משימוש בראשי תיבות ובקיצורים, להוציא המקובלים ביותר (לפנה"ס, לסה"נ).</w:t>
      </w:r>
    </w:p>
    <w:p w:rsidR="00D643A4" w:rsidRDefault="00D643A4" w:rsidP="00D643A4">
      <w:pPr>
        <w:numPr>
          <w:ilvl w:val="0"/>
          <w:numId w:val="2"/>
        </w:numPr>
        <w:spacing w:line="360" w:lineRule="auto"/>
        <w:rPr>
          <w:rFonts w:cs="David"/>
          <w:b/>
          <w:bCs/>
          <w:i/>
          <w:iCs/>
          <w:rtl/>
        </w:rPr>
      </w:pPr>
      <w:r>
        <w:rPr>
          <w:rFonts w:ascii="David" w:hAnsi="David" w:cs="David"/>
          <w:b/>
          <w:bCs/>
          <w:i/>
          <w:iCs/>
          <w:rtl/>
        </w:rPr>
        <w:t>מובאות (ציטטות)</w:t>
      </w:r>
    </w:p>
    <w:p w:rsidR="00D643A4" w:rsidRDefault="00D643A4" w:rsidP="00D643A4">
      <w:pPr>
        <w:numPr>
          <w:ilvl w:val="0"/>
          <w:numId w:val="3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מובאות תצוטטנה כצורתן במקור. מובאה קצרה תבוא בגוף המאמר בין גרשיים ("אל הארץ המובטחת"). מובאה ארוכה לא תצויין בגרשיים, אלא תודפס כפסיקה נפרדת, ששורותיה תוזחנה פנימה.</w:t>
      </w:r>
    </w:p>
    <w:p w:rsidR="00D643A4" w:rsidRDefault="00D643A4" w:rsidP="00D643A4">
      <w:pPr>
        <w:numPr>
          <w:ilvl w:val="0"/>
          <w:numId w:val="3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/>
          <w:rtl/>
        </w:rPr>
        <w:t>הערה או תוספת של המחבר בתוך מובאה תוקף בסוגריים מרובעים; פסיחה תצויין בשלוש נקודות. אין להקיף את שלוש הנקודות בסוגריים אלא אם הן מציינות ליקוי במקור.</w:t>
      </w:r>
    </w:p>
    <w:p w:rsidR="00D643A4" w:rsidRDefault="00D643A4" w:rsidP="00D643A4">
      <w:pPr>
        <w:numPr>
          <w:ilvl w:val="0"/>
          <w:numId w:val="3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מובאה בתוך מובאה תסומן בין גרשים יחידים (לדעת טור סיני "אין בהופעת הצירוף 'עזי וזמרת יה' משום עדות </w:t>
      </w:r>
      <w:r>
        <w:rPr>
          <w:rFonts w:cs="David"/>
        </w:rPr>
        <w:t>…</w:t>
      </w:r>
      <w:r>
        <w:rPr>
          <w:rFonts w:ascii="David" w:hAnsi="David" w:cs="David"/>
          <w:rtl/>
        </w:rPr>
        <w:t>").</w:t>
      </w:r>
    </w:p>
    <w:p w:rsidR="00D643A4" w:rsidRDefault="00D643A4" w:rsidP="00D643A4">
      <w:pPr>
        <w:numPr>
          <w:ilvl w:val="0"/>
          <w:numId w:val="3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במובאות יבוא סימן הפיסוק לאחר סימן הציטוט. סימן שאלה או סימן קריאה השייכים לציטוט יבואו לפני סימן הציטוט (הגרשיים), ולאחרי סימן הציטוט יבוא סימן הפיסוק של המשפט כולו - פסיק, נקודה או סימן אחר, לפי העניין.</w:t>
      </w:r>
    </w:p>
    <w:p w:rsidR="00D643A4" w:rsidRDefault="00D643A4" w:rsidP="00D643A4">
      <w:pPr>
        <w:numPr>
          <w:ilvl w:val="0"/>
          <w:numId w:val="3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במשפט עצמאי הנתון בין סוגריים תבוא הנקודה המציינת את סופו לפני הסוגר.</w:t>
      </w:r>
    </w:p>
    <w:p w:rsidR="00D643A4" w:rsidRDefault="00D643A4" w:rsidP="00D643A4">
      <w:pPr>
        <w:numPr>
          <w:ilvl w:val="0"/>
          <w:numId w:val="2"/>
        </w:numPr>
        <w:spacing w:line="360" w:lineRule="auto"/>
        <w:ind w:right="360"/>
        <w:rPr>
          <w:rFonts w:cs="David"/>
          <w:b/>
          <w:bCs/>
          <w:i/>
          <w:iCs/>
          <w:rtl/>
        </w:rPr>
      </w:pPr>
      <w:r>
        <w:rPr>
          <w:rFonts w:ascii="David" w:hAnsi="David" w:cs="David"/>
          <w:b/>
          <w:bCs/>
          <w:i/>
          <w:iCs/>
          <w:rtl/>
        </w:rPr>
        <w:t>מראי מקום</w:t>
      </w:r>
    </w:p>
    <w:p w:rsidR="00D643A4" w:rsidRDefault="00D643A4" w:rsidP="00D643A4">
      <w:pPr>
        <w:spacing w:line="360" w:lineRule="auto"/>
        <w:ind w:left="366"/>
        <w:rPr>
          <w:rFonts w:ascii="David" w:hAnsi="David" w:cs="David"/>
        </w:rPr>
      </w:pPr>
      <w:r>
        <w:rPr>
          <w:rFonts w:ascii="David" w:hAnsi="David" w:cs="David"/>
          <w:rtl/>
        </w:rPr>
        <w:t xml:space="preserve">מראי מקום </w:t>
      </w:r>
      <w:r>
        <w:rPr>
          <w:rFonts w:ascii="David" w:hAnsi="David" w:cs="David"/>
          <w:b/>
          <w:bCs/>
          <w:rtl/>
        </w:rPr>
        <w:t>למקרא</w:t>
      </w:r>
      <w:r>
        <w:rPr>
          <w:rFonts w:ascii="David" w:hAnsi="David" w:cs="David"/>
          <w:rtl/>
        </w:rPr>
        <w:t xml:space="preserve">: בראשית ל ג; וכדומה. </w:t>
      </w:r>
      <w:r>
        <w:rPr>
          <w:rFonts w:ascii="David" w:hAnsi="David" w:cs="David"/>
          <w:b/>
          <w:bCs/>
          <w:rtl/>
        </w:rPr>
        <w:t>למשנה</w:t>
      </w:r>
      <w:r>
        <w:rPr>
          <w:rFonts w:ascii="David" w:hAnsi="David" w:cs="David"/>
          <w:rtl/>
        </w:rPr>
        <w:t xml:space="preserve">: סנהדרין פ"ג מ"ו; </w:t>
      </w:r>
      <w:r>
        <w:rPr>
          <w:rFonts w:ascii="David" w:hAnsi="David" w:cs="David"/>
          <w:b/>
          <w:bCs/>
          <w:rtl/>
        </w:rPr>
        <w:t>לתוספתא</w:t>
      </w:r>
      <w:r>
        <w:rPr>
          <w:rFonts w:ascii="David" w:hAnsi="David" w:cs="David"/>
          <w:rtl/>
        </w:rPr>
        <w:t xml:space="preserve">: ברכות פ"א ה"ג, מהדורת ליברמן עמ' 2 (לאחר הפעם הראשונה אין צורך לציין "מהדורת" וכו'). </w:t>
      </w:r>
      <w:r>
        <w:rPr>
          <w:rFonts w:ascii="David" w:hAnsi="David" w:cs="David"/>
          <w:b/>
          <w:bCs/>
          <w:rtl/>
        </w:rPr>
        <w:t>לתלמודים</w:t>
      </w:r>
      <w:r>
        <w:rPr>
          <w:rFonts w:ascii="David" w:hAnsi="David" w:cs="David"/>
          <w:rtl/>
        </w:rPr>
        <w:t>: בבלי, בבא מציעא כג ע"ב; ירושלמי, תעניות פ"א ה"ו, סד ע"ג. בראשית רבה לג ה, מהדורת תיאודור ואלבק עמ' 309 (או דפוס וילנא וכו').</w:t>
      </w:r>
    </w:p>
    <w:p w:rsidR="00D643A4" w:rsidRDefault="00D643A4" w:rsidP="00D643A4">
      <w:pPr>
        <w:numPr>
          <w:ilvl w:val="0"/>
          <w:numId w:val="2"/>
        </w:numPr>
        <w:spacing w:line="360" w:lineRule="auto"/>
        <w:rPr>
          <w:rFonts w:ascii="David" w:hAnsi="David" w:cs="David"/>
          <w:b/>
          <w:bCs/>
          <w:i/>
          <w:iCs/>
          <w:rtl/>
        </w:rPr>
      </w:pPr>
      <w:r>
        <w:rPr>
          <w:rFonts w:ascii="David" w:hAnsi="David" w:cs="David"/>
          <w:b/>
          <w:bCs/>
          <w:i/>
          <w:iCs/>
          <w:rtl/>
        </w:rPr>
        <w:lastRenderedPageBreak/>
        <w:t>הערות שוליים</w:t>
      </w:r>
    </w:p>
    <w:p w:rsidR="00D643A4" w:rsidRDefault="00D643A4" w:rsidP="00D643A4">
      <w:pPr>
        <w:numPr>
          <w:ilvl w:val="0"/>
          <w:numId w:val="4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מספרי ההערות ירשמו בגוף המאמר בסיפרה עילית לאחר סימן הפיסוק (למשל: בספר במדבר.</w:t>
      </w:r>
      <w:r>
        <w:rPr>
          <w:rStyle w:val="a7"/>
          <w:rFonts w:ascii="David" w:hAnsi="David" w:cs="David"/>
          <w:rtl/>
        </w:rPr>
        <w:footnoteReference w:id="1"/>
      </w:r>
      <w:r>
        <w:rPr>
          <w:rFonts w:ascii="David" w:hAnsi="David" w:cs="David"/>
          <w:b/>
          <w:bCs/>
          <w:i/>
          <w:iCs/>
          <w:rtl/>
        </w:rPr>
        <w:t xml:space="preserve"> </w:t>
      </w:r>
      <w:r>
        <w:rPr>
          <w:rFonts w:ascii="David" w:hAnsi="David" w:cs="David"/>
          <w:rtl/>
        </w:rPr>
        <w:t>), אך כאשר סימן הפיסוק הוא קו מפריד, יבוא מספר ההערה לפניו.</w:t>
      </w:r>
    </w:p>
    <w:p w:rsidR="00D643A4" w:rsidRDefault="00D643A4" w:rsidP="00D643A4">
      <w:pPr>
        <w:numPr>
          <w:ilvl w:val="0"/>
          <w:numId w:val="4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מספרי ההערות יהיו רצופים לאורך המאמר כולו. יש להימנע ממספרי ביניים (7א, 7*). </w:t>
      </w:r>
    </w:p>
    <w:p w:rsidR="00D643A4" w:rsidRPr="00D643A4" w:rsidRDefault="00D643A4" w:rsidP="00D643A4">
      <w:pPr>
        <w:numPr>
          <w:ilvl w:val="0"/>
          <w:numId w:val="2"/>
        </w:numPr>
        <w:spacing w:line="360" w:lineRule="auto"/>
        <w:rPr>
          <w:rFonts w:ascii="David" w:hAnsi="David" w:cs="David"/>
          <w:b/>
          <w:bCs/>
          <w:i/>
          <w:iCs/>
          <w:rtl/>
        </w:rPr>
      </w:pPr>
      <w:r w:rsidRPr="00D643A4">
        <w:rPr>
          <w:rFonts w:ascii="David" w:hAnsi="David" w:cs="David"/>
          <w:b/>
          <w:bCs/>
          <w:i/>
          <w:iCs/>
          <w:rtl/>
        </w:rPr>
        <w:t>ציונים ביבליוגרפיים</w:t>
      </w:r>
    </w:p>
    <w:p w:rsidR="00D643A4" w:rsidRDefault="00D643A4" w:rsidP="00D643A4">
      <w:pPr>
        <w:spacing w:line="360" w:lineRule="auto"/>
        <w:ind w:left="366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המחבר יקפיד להביא את כל הפרטים הביבליוגרפיים המקובלים. להלן דוגמאות לדרך הרישום הביבליוגרפי.</w:t>
      </w:r>
    </w:p>
    <w:p w:rsidR="00D643A4" w:rsidRDefault="00D643A4" w:rsidP="00D643A4">
      <w:pPr>
        <w:numPr>
          <w:ilvl w:val="0"/>
          <w:numId w:val="5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ספרים:</w:t>
      </w:r>
    </w:p>
    <w:p w:rsidR="00D643A4" w:rsidRDefault="00D643A4" w:rsidP="00D643A4">
      <w:pPr>
        <w:spacing w:line="360" w:lineRule="auto"/>
        <w:ind w:left="1217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לואיס ס' פויר, זיינשטיין ובני דורו, תל אביב תשל"ט, עמ' 94.</w:t>
      </w:r>
    </w:p>
    <w:p w:rsidR="00D643A4" w:rsidRDefault="00D643A4" w:rsidP="00D643A4">
      <w:pPr>
        <w:spacing w:line="360" w:lineRule="auto"/>
        <w:ind w:left="1217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אבל: אביהו זכאי (עורך), אירופה והעולם החדש, אקדמון תשנ"ד.</w:t>
      </w:r>
    </w:p>
    <w:p w:rsidR="00D643A4" w:rsidRDefault="00D643A4" w:rsidP="00D643A4">
      <w:pPr>
        <w:spacing w:line="360" w:lineRule="auto"/>
        <w:ind w:left="1217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אין לציין בעברית ספרים ומאמרים בכתב מוטה (</w:t>
      </w:r>
      <w:r>
        <w:rPr>
          <w:rFonts w:cs="David"/>
          <w:noProof w:val="0"/>
        </w:rPr>
        <w:t>italics</w:t>
      </w:r>
      <w:r>
        <w:rPr>
          <w:rFonts w:ascii="David" w:hAnsi="David" w:cs="David"/>
          <w:rtl/>
        </w:rPr>
        <w:t>).</w:t>
      </w:r>
    </w:p>
    <w:p w:rsidR="00D643A4" w:rsidRDefault="00D643A4" w:rsidP="00D643A4">
      <w:pPr>
        <w:spacing w:line="360" w:lineRule="auto"/>
        <w:ind w:left="1217"/>
        <w:rPr>
          <w:rFonts w:ascii="David" w:hAnsi="David" w:cs="David"/>
          <w:rtl/>
        </w:rPr>
      </w:pPr>
      <w:r>
        <w:rPr>
          <w:rFonts w:ascii="David" w:hAnsi="David" w:cs="David"/>
          <w:u w:val="single"/>
          <w:rtl/>
        </w:rPr>
        <w:t>ובלועזית:</w:t>
      </w:r>
    </w:p>
    <w:p w:rsidR="00D643A4" w:rsidRDefault="00D643A4" w:rsidP="00D643A4">
      <w:pPr>
        <w:spacing w:line="360" w:lineRule="auto"/>
        <w:ind w:left="1217"/>
        <w:jc w:val="right"/>
        <w:rPr>
          <w:rFonts w:cs="David"/>
          <w:noProof w:val="0"/>
          <w:rtl/>
        </w:rPr>
      </w:pPr>
      <w:r>
        <w:rPr>
          <w:rFonts w:cs="David"/>
          <w:noProof w:val="0"/>
        </w:rPr>
        <w:t xml:space="preserve">Benno Muller-Hill,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cs="David"/>
              <w:noProof w:val="0"/>
            </w:rPr>
            <w:t>Tadliche</w:t>
          </w:r>
          <w:proofErr w:type="spellEnd"/>
          <w:r>
            <w:rPr>
              <w:rFonts w:cs="David"/>
              <w:noProof w:val="0"/>
            </w:rPr>
            <w:t xml:space="preserve"> </w:t>
          </w:r>
          <w:proofErr w:type="spellStart"/>
          <w:r>
            <w:rPr>
              <w:rFonts w:cs="David"/>
              <w:noProof w:val="0"/>
            </w:rPr>
            <w:t>Wissenschaft</w:t>
          </w:r>
        </w:smartTag>
        <w:proofErr w:type="spellEnd"/>
        <w:r>
          <w:rPr>
            <w:rFonts w:cs="David"/>
            <w:noProof w:val="0"/>
          </w:rPr>
          <w:t xml:space="preserve">, </w:t>
        </w:r>
        <w:smartTag w:uri="urn:schemas-microsoft-com:office:smarttags" w:element="State">
          <w:r>
            <w:rPr>
              <w:rFonts w:cs="David"/>
              <w:noProof w:val="0"/>
            </w:rPr>
            <w:t>Hamburg</w:t>
          </w:r>
        </w:smartTag>
      </w:smartTag>
      <w:r>
        <w:rPr>
          <w:rFonts w:cs="David"/>
          <w:noProof w:val="0"/>
        </w:rPr>
        <w:t xml:space="preserve"> 1984, p.60 n. 10</w:t>
      </w:r>
    </w:p>
    <w:p w:rsidR="00D643A4" w:rsidRDefault="00D643A4" w:rsidP="00D643A4">
      <w:pPr>
        <w:spacing w:line="360" w:lineRule="auto"/>
        <w:ind w:left="1217"/>
        <w:jc w:val="right"/>
        <w:rPr>
          <w:rFonts w:cs="David"/>
          <w:noProof w:val="0"/>
          <w:rtl/>
        </w:rPr>
      </w:pPr>
      <w:r>
        <w:rPr>
          <w:rFonts w:cs="David"/>
          <w:noProof w:val="0"/>
        </w:rPr>
        <w:t xml:space="preserve">Eli </w:t>
      </w:r>
      <w:proofErr w:type="spellStart"/>
      <w:r>
        <w:rPr>
          <w:rFonts w:cs="David"/>
          <w:noProof w:val="0"/>
        </w:rPr>
        <w:t>Barnavi</w:t>
      </w:r>
      <w:proofErr w:type="spellEnd"/>
      <w:r>
        <w:rPr>
          <w:rFonts w:cs="David"/>
          <w:noProof w:val="0"/>
        </w:rPr>
        <w:t xml:space="preserve"> &amp; Moshe </w:t>
      </w:r>
      <w:proofErr w:type="spellStart"/>
      <w:r>
        <w:rPr>
          <w:rFonts w:cs="David"/>
          <w:noProof w:val="0"/>
        </w:rPr>
        <w:t>Zuckermann</w:t>
      </w:r>
      <w:proofErr w:type="spellEnd"/>
      <w:r>
        <w:rPr>
          <w:rFonts w:cs="David"/>
          <w:noProof w:val="0"/>
        </w:rPr>
        <w:t xml:space="preserve"> (</w:t>
      </w:r>
      <w:proofErr w:type="spellStart"/>
      <w:r>
        <w:rPr>
          <w:rFonts w:cs="David"/>
          <w:noProof w:val="0"/>
        </w:rPr>
        <w:t>eds</w:t>
      </w:r>
      <w:proofErr w:type="spellEnd"/>
      <w:r>
        <w:rPr>
          <w:rFonts w:cs="David"/>
          <w:noProof w:val="0"/>
        </w:rPr>
        <w:t xml:space="preserve">), For </w:t>
      </w:r>
      <w:smartTag w:uri="urn:schemas-microsoft-com:office:smarttags" w:element="City">
        <w:smartTag w:uri="urn:schemas-microsoft-com:office:smarttags" w:element="place">
          <w:r>
            <w:rPr>
              <w:rFonts w:cs="David"/>
              <w:noProof w:val="0"/>
            </w:rPr>
            <w:t>Liberty</w:t>
          </w:r>
        </w:smartTag>
      </w:smartTag>
      <w:r>
        <w:rPr>
          <w:rFonts w:cs="David"/>
          <w:noProof w:val="0"/>
        </w:rPr>
        <w:t xml:space="preserve"> and Equality - Historians in the French </w:t>
      </w:r>
      <w:proofErr w:type="spellStart"/>
      <w:r>
        <w:rPr>
          <w:rFonts w:cs="David"/>
          <w:noProof w:val="0"/>
        </w:rPr>
        <w:t>Revolurion</w:t>
      </w:r>
      <w:proofErr w:type="spellEnd"/>
      <w:r>
        <w:rPr>
          <w:rFonts w:cs="David"/>
          <w:noProof w:val="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cs="David"/>
              <w:noProof w:val="0"/>
            </w:rPr>
            <w:t>Jerusalem</w:t>
          </w:r>
        </w:smartTag>
      </w:smartTag>
      <w:r>
        <w:rPr>
          <w:rFonts w:cs="David"/>
          <w:noProof w:val="0"/>
        </w:rPr>
        <w:t xml:space="preserve"> 1989.</w:t>
      </w:r>
    </w:p>
    <w:p w:rsidR="00D643A4" w:rsidRDefault="00D643A4" w:rsidP="00D643A4">
      <w:pPr>
        <w:spacing w:line="360" w:lineRule="auto"/>
        <w:ind w:left="1217"/>
        <w:rPr>
          <w:rFonts w:ascii="David" w:hAnsi="David" w:cs="David"/>
        </w:rPr>
      </w:pPr>
      <w:r>
        <w:rPr>
          <w:rFonts w:ascii="David" w:hAnsi="David" w:cs="David"/>
          <w:rtl/>
        </w:rPr>
        <w:t>שמות המחברים יינתנו בצורה מלאה ולא בקיצורים. שמות ספרים וכתבי עת יבואו בכתב מוטה (</w:t>
      </w:r>
      <w:r>
        <w:rPr>
          <w:rFonts w:cs="David"/>
          <w:noProof w:val="0"/>
        </w:rPr>
        <w:t>italics</w:t>
      </w:r>
      <w:r>
        <w:rPr>
          <w:rFonts w:ascii="David" w:hAnsi="David" w:cs="David"/>
          <w:rtl/>
        </w:rPr>
        <w:t>).</w:t>
      </w:r>
    </w:p>
    <w:p w:rsidR="00D643A4" w:rsidRDefault="00D643A4" w:rsidP="00D643A4">
      <w:pPr>
        <w:numPr>
          <w:ilvl w:val="0"/>
          <w:numId w:val="5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/>
          <w:rtl/>
        </w:rPr>
        <w:t>מאמרים בכתבי עת ובקצים:</w:t>
      </w:r>
    </w:p>
    <w:p w:rsidR="00D643A4" w:rsidRDefault="00D643A4" w:rsidP="00D643A4">
      <w:pPr>
        <w:spacing w:line="360" w:lineRule="auto"/>
        <w:ind w:left="792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איתמר זינגר, "כלכלת המקדש החתי", דת וכלכלה, בעריכת מנחם בן-ששון, ירושלים תשנ"ה, עמ' 103 הע' 2.</w:t>
      </w:r>
    </w:p>
    <w:p w:rsidR="00D643A4" w:rsidRDefault="00D643A4" w:rsidP="00D643A4">
      <w:pPr>
        <w:spacing w:line="360" w:lineRule="auto"/>
        <w:ind w:left="792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עמנואל ורדי, "פוליטיקה ועסקים בג'נובה של שלהי המאה הארבע עשרה", היסטוריה 2 (תשנ"ח), עמ' 33 - 51.</w:t>
      </w:r>
    </w:p>
    <w:p w:rsidR="00D643A4" w:rsidRPr="00D643A4" w:rsidRDefault="00D643A4" w:rsidP="00D643A4">
      <w:pPr>
        <w:spacing w:line="360" w:lineRule="auto"/>
        <w:ind w:left="792"/>
        <w:rPr>
          <w:rFonts w:ascii="David" w:hAnsi="David" w:cs="David"/>
          <w:u w:val="single"/>
          <w:rtl/>
        </w:rPr>
      </w:pPr>
      <w:r w:rsidRPr="00D643A4">
        <w:rPr>
          <w:rFonts w:ascii="David" w:hAnsi="David" w:cs="David"/>
          <w:u w:val="single"/>
          <w:rtl/>
        </w:rPr>
        <w:t>ובלועזית:</w:t>
      </w:r>
    </w:p>
    <w:p w:rsidR="00D643A4" w:rsidRDefault="00D643A4" w:rsidP="00D643A4">
      <w:pPr>
        <w:bidi w:val="0"/>
        <w:spacing w:line="360" w:lineRule="auto"/>
        <w:ind w:left="792"/>
        <w:rPr>
          <w:rFonts w:cs="David"/>
          <w:noProof w:val="0"/>
          <w:rtl/>
        </w:rPr>
      </w:pPr>
      <w:r>
        <w:rPr>
          <w:rFonts w:cs="David"/>
        </w:rPr>
        <w:t>D</w:t>
      </w:r>
      <w:proofErr w:type="spellStart"/>
      <w:r>
        <w:rPr>
          <w:rFonts w:cs="David"/>
          <w:noProof w:val="0"/>
        </w:rPr>
        <w:t>aniel</w:t>
      </w:r>
      <w:proofErr w:type="spellEnd"/>
      <w:r>
        <w:rPr>
          <w:rFonts w:cs="David"/>
          <w:noProof w:val="0"/>
        </w:rPr>
        <w:t xml:space="preserve"> </w:t>
      </w:r>
      <w:proofErr w:type="spellStart"/>
      <w:r>
        <w:rPr>
          <w:rFonts w:cs="David"/>
          <w:noProof w:val="0"/>
        </w:rPr>
        <w:t>Sperber</w:t>
      </w:r>
      <w:proofErr w:type="spellEnd"/>
      <w:r>
        <w:rPr>
          <w:rFonts w:cs="David"/>
          <w:noProof w:val="0"/>
        </w:rPr>
        <w:t xml:space="preserve"> &amp; </w:t>
      </w:r>
      <w:proofErr w:type="spellStart"/>
      <w:r>
        <w:rPr>
          <w:rFonts w:cs="David"/>
          <w:noProof w:val="0"/>
        </w:rPr>
        <w:t>Ranon</w:t>
      </w:r>
      <w:proofErr w:type="spellEnd"/>
      <w:r>
        <w:rPr>
          <w:rFonts w:cs="David"/>
          <w:noProof w:val="0"/>
        </w:rPr>
        <w:t xml:space="preserve"> </w:t>
      </w:r>
      <w:proofErr w:type="spellStart"/>
      <w:r>
        <w:rPr>
          <w:rFonts w:cs="David"/>
          <w:noProof w:val="0"/>
        </w:rPr>
        <w:t>Katzoff</w:t>
      </w:r>
      <w:proofErr w:type="spellEnd"/>
      <w:r>
        <w:rPr>
          <w:rFonts w:cs="David"/>
          <w:noProof w:val="0"/>
        </w:rPr>
        <w:t xml:space="preserve">, "On the Office of the </w:t>
      </w:r>
      <w:proofErr w:type="spellStart"/>
      <w:r>
        <w:rPr>
          <w:rFonts w:cs="David"/>
          <w:noProof w:val="0"/>
        </w:rPr>
        <w:t>Defensor</w:t>
      </w:r>
      <w:proofErr w:type="spellEnd"/>
      <w:r>
        <w:rPr>
          <w:rFonts w:cs="David"/>
          <w:noProof w:val="0"/>
        </w:rPr>
        <w:t xml:space="preserve"> in </w:t>
      </w:r>
      <w:proofErr w:type="spellStart"/>
      <w:r>
        <w:rPr>
          <w:rFonts w:cs="David"/>
          <w:noProof w:val="0"/>
        </w:rPr>
        <w:t>Palestaine</w:t>
      </w:r>
      <w:proofErr w:type="spellEnd"/>
      <w:r>
        <w:rPr>
          <w:rFonts w:cs="David"/>
          <w:noProof w:val="0"/>
        </w:rPr>
        <w:t xml:space="preserve"> And Egypt During the Third Century CE", Saul Lieberman Memorial Volume, ed. </w:t>
      </w:r>
      <w:proofErr w:type="spellStart"/>
      <w:r>
        <w:rPr>
          <w:rFonts w:cs="David"/>
          <w:noProof w:val="0"/>
        </w:rPr>
        <w:t>Shamma</w:t>
      </w:r>
      <w:proofErr w:type="spellEnd"/>
      <w:r>
        <w:rPr>
          <w:rFonts w:cs="David"/>
          <w:noProof w:val="0"/>
        </w:rPr>
        <w:t xml:space="preserve"> Friedman, New York &amp; Jerusalem 1993, pp. 5* - 7*.</w:t>
      </w:r>
    </w:p>
    <w:p w:rsidR="00D643A4" w:rsidRDefault="00D643A4" w:rsidP="00D643A4">
      <w:pPr>
        <w:bidi w:val="0"/>
        <w:spacing w:line="360" w:lineRule="auto"/>
        <w:ind w:left="792"/>
        <w:rPr>
          <w:rFonts w:cs="David"/>
          <w:noProof w:val="0"/>
          <w:rtl/>
        </w:rPr>
      </w:pPr>
      <w:r>
        <w:rPr>
          <w:rFonts w:cs="David"/>
          <w:noProof w:val="0"/>
        </w:rPr>
        <w:t xml:space="preserve">Naftali Lewis, "Two Greek Documents from Provincial </w:t>
      </w:r>
      <w:smartTag w:uri="urn:schemas-microsoft-com:office:smarttags" w:element="place">
        <w:r>
          <w:rPr>
            <w:rFonts w:cs="David"/>
            <w:noProof w:val="0"/>
          </w:rPr>
          <w:t>Arabia</w:t>
        </w:r>
      </w:smartTag>
      <w:r>
        <w:rPr>
          <w:rFonts w:cs="David"/>
          <w:noProof w:val="0"/>
        </w:rPr>
        <w:t xml:space="preserve">",  Classical  Studies 3 (1978), </w:t>
      </w:r>
    </w:p>
    <w:p w:rsidR="00D643A4" w:rsidRDefault="00D643A4" w:rsidP="00D643A4">
      <w:pPr>
        <w:bidi w:val="0"/>
        <w:spacing w:line="360" w:lineRule="auto"/>
        <w:ind w:left="792"/>
        <w:rPr>
          <w:rFonts w:ascii="David" w:hAnsi="David" w:cs="David"/>
        </w:rPr>
      </w:pPr>
      <w:r>
        <w:rPr>
          <w:rFonts w:cs="David"/>
          <w:noProof w:val="0"/>
        </w:rPr>
        <w:t>pp .   100-14.</w:t>
      </w:r>
    </w:p>
    <w:p w:rsidR="00D643A4" w:rsidRDefault="00D643A4" w:rsidP="00D643A4">
      <w:pPr>
        <w:numPr>
          <w:ilvl w:val="0"/>
          <w:numId w:val="5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/>
          <w:rtl/>
        </w:rPr>
        <w:t>ערכים אנציקלופדיים:</w:t>
      </w:r>
    </w:p>
    <w:p w:rsidR="00D643A4" w:rsidRDefault="00D643A4" w:rsidP="00D643A4">
      <w:pPr>
        <w:spacing w:line="360" w:lineRule="auto"/>
        <w:ind w:left="792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זאב בכלר, ניוטון, איזק, האנציקלופדיה העברית, כה, טור 100.</w:t>
      </w:r>
    </w:p>
    <w:p w:rsidR="00D643A4" w:rsidRDefault="00D643A4" w:rsidP="00D643A4">
      <w:pPr>
        <w:spacing w:line="360" w:lineRule="auto"/>
        <w:ind w:left="792"/>
        <w:jc w:val="right"/>
        <w:rPr>
          <w:rFonts w:ascii="David" w:hAnsi="David" w:cs="David"/>
          <w:rtl/>
        </w:rPr>
      </w:pPr>
      <w:r>
        <w:rPr>
          <w:rFonts w:cs="David"/>
          <w:noProof w:val="0"/>
        </w:rPr>
        <w:t xml:space="preserve">Shmuel </w:t>
      </w:r>
      <w:proofErr w:type="spellStart"/>
      <w:r>
        <w:rPr>
          <w:rFonts w:cs="David"/>
          <w:noProof w:val="0"/>
        </w:rPr>
        <w:t>Biabloblocki</w:t>
      </w:r>
      <w:proofErr w:type="spellEnd"/>
      <w:r>
        <w:rPr>
          <w:rFonts w:cs="David"/>
          <w:noProof w:val="0"/>
        </w:rPr>
        <w:t>, "</w:t>
      </w:r>
      <w:proofErr w:type="spellStart"/>
      <w:r>
        <w:rPr>
          <w:rFonts w:cs="David"/>
          <w:noProof w:val="0"/>
        </w:rPr>
        <w:t>Aberglaube</w:t>
      </w:r>
      <w:proofErr w:type="spellEnd"/>
      <w:r>
        <w:rPr>
          <w:rFonts w:cs="David"/>
          <w:noProof w:val="0"/>
        </w:rPr>
        <w:t xml:space="preserve">" ; </w:t>
      </w:r>
      <w:proofErr w:type="spellStart"/>
      <w:r>
        <w:rPr>
          <w:rFonts w:cs="David"/>
          <w:noProof w:val="0"/>
        </w:rPr>
        <w:t>Encyclopaedia</w:t>
      </w:r>
      <w:proofErr w:type="spellEnd"/>
      <w:r>
        <w:rPr>
          <w:rFonts w:cs="David"/>
          <w:noProof w:val="0"/>
        </w:rPr>
        <w:t xml:space="preserve"> Judaica, I, </w:t>
      </w:r>
      <w:smartTag w:uri="urn:schemas-microsoft-com:office:smarttags" w:element="State">
        <w:smartTag w:uri="urn:schemas-microsoft-com:office:smarttags" w:element="place">
          <w:r>
            <w:rPr>
              <w:rFonts w:cs="David"/>
              <w:noProof w:val="0"/>
            </w:rPr>
            <w:t>Berlin</w:t>
          </w:r>
        </w:smartTag>
      </w:smartTag>
      <w:r>
        <w:rPr>
          <w:rFonts w:cs="David"/>
          <w:noProof w:val="0"/>
        </w:rPr>
        <w:t xml:space="preserve"> 1927, p.229-240.</w:t>
      </w:r>
    </w:p>
    <w:p w:rsidR="00D643A4" w:rsidRDefault="00D643A4" w:rsidP="00D643A4">
      <w:pPr>
        <w:numPr>
          <w:ilvl w:val="0"/>
          <w:numId w:val="5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בהזכרה חוזרת תוכפת יצוינו החיבורים בדרך זו:</w:t>
      </w:r>
    </w:p>
    <w:p w:rsidR="00D643A4" w:rsidRDefault="00D643A4" w:rsidP="00D643A4">
      <w:pPr>
        <w:spacing w:line="360" w:lineRule="auto"/>
        <w:ind w:left="792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ורדי, שם, עמ' 36 זכאי, שם, עמ' 77.</w:t>
      </w:r>
    </w:p>
    <w:p w:rsidR="00D643A4" w:rsidRDefault="00D643A4" w:rsidP="00D643A4">
      <w:pPr>
        <w:spacing w:line="360" w:lineRule="auto"/>
        <w:ind w:left="792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בהזכרה חוזרת שאיננה תוכפת יוזכרו החיבורים בדרך זו:</w:t>
      </w:r>
    </w:p>
    <w:p w:rsidR="00D643A4" w:rsidRDefault="00D643A4" w:rsidP="00D643A4">
      <w:pPr>
        <w:spacing w:line="360" w:lineRule="auto"/>
        <w:ind w:left="792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ורדי (לעיל, הע' 44), עמ' 195; זכאי (לעיל, הע' 5), עמ' 230.</w:t>
      </w:r>
    </w:p>
    <w:p w:rsidR="00D643A4" w:rsidRDefault="00D643A4" w:rsidP="00D643A4">
      <w:pPr>
        <w:spacing w:line="360" w:lineRule="auto"/>
        <w:ind w:left="792"/>
        <w:rPr>
          <w:rFonts w:ascii="David" w:hAnsi="David" w:cs="David"/>
          <w:u w:val="single"/>
          <w:rtl/>
        </w:rPr>
      </w:pPr>
      <w:r>
        <w:rPr>
          <w:rFonts w:ascii="David" w:hAnsi="David" w:cs="David"/>
          <w:u w:val="single"/>
          <w:rtl/>
        </w:rPr>
        <w:t xml:space="preserve">חיבורים לועזיים הנזכרים בשנייה יובאו גם הם </w:t>
      </w:r>
      <w:r>
        <w:rPr>
          <w:rFonts w:ascii="David" w:hAnsi="David" w:cs="David"/>
          <w:b/>
          <w:bCs/>
          <w:u w:val="single"/>
          <w:rtl/>
        </w:rPr>
        <w:t>בצורה עברית</w:t>
      </w:r>
      <w:r>
        <w:rPr>
          <w:rFonts w:ascii="David" w:hAnsi="David" w:cs="David"/>
          <w:u w:val="single"/>
          <w:rtl/>
        </w:rPr>
        <w:t xml:space="preserve"> </w:t>
      </w:r>
      <w:r>
        <w:rPr>
          <w:rFonts w:ascii="David" w:hAnsi="David" w:cs="David"/>
          <w:b/>
          <w:bCs/>
          <w:u w:val="single"/>
          <w:rtl/>
        </w:rPr>
        <w:t>לפי שם המחבר</w:t>
      </w:r>
      <w:r>
        <w:rPr>
          <w:rFonts w:ascii="David" w:hAnsi="David" w:cs="David"/>
          <w:u w:val="single"/>
          <w:rtl/>
        </w:rPr>
        <w:t xml:space="preserve">, כגון </w:t>
      </w:r>
    </w:p>
    <w:p w:rsidR="00D643A4" w:rsidRDefault="00D643A4" w:rsidP="00D643A4">
      <w:pPr>
        <w:spacing w:line="360" w:lineRule="auto"/>
        <w:ind w:left="792"/>
        <w:rPr>
          <w:rFonts w:ascii="David" w:hAnsi="David" w:cs="David"/>
          <w:szCs w:val="16"/>
          <w:u w:val="single"/>
          <w:rtl/>
        </w:rPr>
      </w:pPr>
      <w:r>
        <w:rPr>
          <w:rFonts w:ascii="David" w:hAnsi="David" w:cs="David"/>
          <w:u w:val="single"/>
          <w:rtl/>
        </w:rPr>
        <w:t>ביאלובלוצקי, שם עמ' 13; לואיס (לעיל, הע' 13), עמ' 314.</w:t>
      </w:r>
    </w:p>
    <w:p w:rsidR="00D643A4" w:rsidRDefault="00D643A4" w:rsidP="00D643A4">
      <w:pPr>
        <w:spacing w:line="360" w:lineRule="auto"/>
        <w:ind w:left="792"/>
        <w:rPr>
          <w:rFonts w:ascii="David" w:hAnsi="David" w:cs="David"/>
          <w:u w:val="single"/>
          <w:rtl/>
        </w:rPr>
      </w:pPr>
      <w:r>
        <w:rPr>
          <w:rFonts w:ascii="David" w:hAnsi="David" w:cs="David"/>
          <w:u w:val="single"/>
          <w:rtl/>
        </w:rPr>
        <w:t xml:space="preserve">  </w:t>
      </w:r>
    </w:p>
    <w:p w:rsidR="00D643A4" w:rsidRDefault="00D643A4" w:rsidP="00D643A4">
      <w:pPr>
        <w:numPr>
          <w:ilvl w:val="0"/>
          <w:numId w:val="5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lastRenderedPageBreak/>
        <w:t>כאשר אין שם של מחבר או שלמחבר יש מספר פרסומים (ספר או מאמר), והם נזכרים באותה הערה, יש ליצור קיצור לפרסום, ולציין בעברית לאחר השם הלועזי המלא, כגון זה:</w:t>
      </w:r>
    </w:p>
    <w:p w:rsidR="00D643A4" w:rsidRDefault="00D643A4" w:rsidP="00D643A4">
      <w:pPr>
        <w:spacing w:line="360" w:lineRule="auto"/>
        <w:ind w:left="650"/>
        <w:rPr>
          <w:rFonts w:ascii="David" w:hAnsi="David" w:cs="David"/>
          <w:szCs w:val="16"/>
          <w:rtl/>
        </w:rPr>
      </w:pPr>
      <w:r>
        <w:rPr>
          <w:rFonts w:ascii="David" w:hAnsi="David" w:cs="David"/>
          <w:rtl/>
        </w:rPr>
        <w:t xml:space="preserve">(להלן: הקונגרס התשיעי), או: (להלן: פישר, אירופה); ולציין בהמשך </w:t>
      </w:r>
      <w:r>
        <w:rPr>
          <w:rFonts w:ascii="David" w:hAnsi="David" w:cs="David"/>
          <w:u w:val="single"/>
          <w:rtl/>
        </w:rPr>
        <w:t>בעברית</w:t>
      </w:r>
      <w:r>
        <w:rPr>
          <w:rFonts w:ascii="David" w:hAnsi="David" w:cs="David"/>
          <w:rtl/>
        </w:rPr>
        <w:t xml:space="preserve"> על פי הקיצור, ולציין </w:t>
      </w:r>
      <w:r>
        <w:rPr>
          <w:rFonts w:ascii="David" w:hAnsi="David" w:cs="David"/>
          <w:b/>
          <w:bCs/>
          <w:rtl/>
        </w:rPr>
        <w:t xml:space="preserve"> </w:t>
      </w:r>
      <w:r>
        <w:rPr>
          <w:rFonts w:ascii="David" w:hAnsi="David" w:cs="David"/>
          <w:rtl/>
        </w:rPr>
        <w:t>שוב: (לעיל, הע' 3).</w:t>
      </w:r>
    </w:p>
    <w:p w:rsidR="00D643A4" w:rsidRDefault="00D643A4" w:rsidP="00D643A4">
      <w:pPr>
        <w:spacing w:line="360" w:lineRule="auto"/>
        <w:ind w:left="650"/>
        <w:rPr>
          <w:rFonts w:ascii="David" w:hAnsi="David" w:cs="David"/>
          <w:szCs w:val="16"/>
          <w:rtl/>
        </w:rPr>
      </w:pPr>
    </w:p>
    <w:p w:rsidR="00D643A4" w:rsidRDefault="00D643A4" w:rsidP="00D643A4">
      <w:pPr>
        <w:numPr>
          <w:ilvl w:val="0"/>
          <w:numId w:val="5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שמות כתבי עת: יש לפתוח את קיצוריהם.</w:t>
      </w:r>
    </w:p>
    <w:p w:rsidR="00D643A4" w:rsidRDefault="00D643A4" w:rsidP="00D643A4">
      <w:pPr>
        <w:spacing w:line="360" w:lineRule="auto"/>
        <w:ind w:left="366"/>
        <w:rPr>
          <w:rFonts w:ascii="David" w:hAnsi="David" w:cs="David"/>
          <w:rtl/>
        </w:rPr>
      </w:pPr>
    </w:p>
    <w:p w:rsidR="00D643A4" w:rsidRDefault="00D643A4" w:rsidP="00D643A4">
      <w:pPr>
        <w:numPr>
          <w:ilvl w:val="0"/>
          <w:numId w:val="5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כאשר מציינים ציון ביבליוגרפי לספר ולמקום הופעתו (שם עיר) יש לעשות זאת בשפה המופיעה בשער ולא בצורות אנגליות - כגון: </w:t>
      </w:r>
      <w:r>
        <w:rPr>
          <w:rFonts w:cs="David"/>
        </w:rPr>
        <w:t>G</w:t>
      </w:r>
      <w:proofErr w:type="spellStart"/>
      <w:r>
        <w:rPr>
          <w:rFonts w:cs="David"/>
          <w:noProof w:val="0"/>
        </w:rPr>
        <w:t>enova</w:t>
      </w:r>
      <w:proofErr w:type="spellEnd"/>
      <w:r>
        <w:rPr>
          <w:rFonts w:ascii="David" w:hAnsi="David" w:cs="David"/>
          <w:rtl/>
        </w:rPr>
        <w:t xml:space="preserve"> ולא </w:t>
      </w:r>
      <w:r>
        <w:rPr>
          <w:rFonts w:cs="David"/>
        </w:rPr>
        <w:t>R</w:t>
      </w:r>
      <w:proofErr w:type="spellStart"/>
      <w:r>
        <w:rPr>
          <w:rFonts w:cs="David"/>
          <w:noProof w:val="0"/>
        </w:rPr>
        <w:t>oma</w:t>
      </w:r>
      <w:proofErr w:type="spellEnd"/>
      <w:r>
        <w:rPr>
          <w:rFonts w:cs="David"/>
          <w:noProof w:val="0"/>
        </w:rPr>
        <w:t xml:space="preserve">, </w:t>
      </w:r>
      <w:proofErr w:type="spellStart"/>
      <w:r>
        <w:rPr>
          <w:rFonts w:cs="David"/>
          <w:noProof w:val="0"/>
        </w:rPr>
        <w:t>Genua</w:t>
      </w:r>
      <w:proofErr w:type="spellEnd"/>
      <w:r>
        <w:rPr>
          <w:rFonts w:ascii="David" w:hAnsi="David" w:cs="David"/>
          <w:rtl/>
        </w:rPr>
        <w:t xml:space="preserve"> ולא</w:t>
      </w:r>
      <w:r>
        <w:rPr>
          <w:rFonts w:cs="David"/>
        </w:rPr>
        <w:t>M</w:t>
      </w:r>
      <w:proofErr w:type="spellStart"/>
      <w:r>
        <w:rPr>
          <w:rFonts w:cs="David"/>
          <w:noProof w:val="0"/>
        </w:rPr>
        <w:t>unichen</w:t>
      </w:r>
      <w:proofErr w:type="spellEnd"/>
      <w:r>
        <w:rPr>
          <w:rFonts w:cs="David"/>
          <w:noProof w:val="0"/>
        </w:rPr>
        <w:t xml:space="preserve"> ,Rome </w:t>
      </w:r>
      <w:r>
        <w:rPr>
          <w:rFonts w:ascii="David" w:hAnsi="David" w:cs="David"/>
          <w:rtl/>
        </w:rPr>
        <w:t xml:space="preserve"> ולא </w:t>
      </w:r>
      <w:r>
        <w:rPr>
          <w:rFonts w:cs="David"/>
        </w:rPr>
        <w:t>M</w:t>
      </w:r>
      <w:proofErr w:type="spellStart"/>
      <w:r>
        <w:rPr>
          <w:rFonts w:cs="David"/>
          <w:noProof w:val="0"/>
        </w:rPr>
        <w:t>unich</w:t>
      </w:r>
      <w:proofErr w:type="spellEnd"/>
      <w:r>
        <w:rPr>
          <w:rFonts w:ascii="David" w:hAnsi="David" w:cs="David"/>
          <w:rtl/>
        </w:rPr>
        <w:t xml:space="preserve"> .</w:t>
      </w:r>
    </w:p>
    <w:p w:rsidR="00D643A4" w:rsidRDefault="00D643A4" w:rsidP="00D643A4">
      <w:pPr>
        <w:spacing w:line="360" w:lineRule="auto"/>
        <w:ind w:left="366"/>
        <w:rPr>
          <w:rFonts w:ascii="David" w:hAnsi="David" w:cs="David"/>
          <w:rtl/>
        </w:rPr>
      </w:pPr>
    </w:p>
    <w:p w:rsidR="00D643A4" w:rsidRDefault="00D643A4" w:rsidP="00D643A4">
      <w:pPr>
        <w:spacing w:line="360" w:lineRule="auto"/>
        <w:rPr>
          <w:rFonts w:cs="David"/>
          <w:b/>
          <w:bCs/>
          <w:i/>
          <w:iCs/>
          <w:rtl/>
        </w:rPr>
      </w:pPr>
      <w:r>
        <w:rPr>
          <w:rFonts w:ascii="David" w:hAnsi="David" w:cs="David"/>
          <w:b/>
          <w:bCs/>
          <w:i/>
          <w:iCs/>
          <w:rtl/>
        </w:rPr>
        <w:t>יא.   עריכה לשונית והגהות</w:t>
      </w:r>
    </w:p>
    <w:p w:rsidR="00D643A4" w:rsidRDefault="00D643A4" w:rsidP="00D643A4">
      <w:pPr>
        <w:spacing w:line="360" w:lineRule="auto"/>
        <w:ind w:left="366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עריכה לשונית והתקנה לדפוס ייעשו על ידי המערכת; </w:t>
      </w:r>
      <w:r>
        <w:rPr>
          <w:rFonts w:ascii="David" w:hAnsi="David" w:cs="David" w:hint="cs"/>
          <w:rtl/>
        </w:rPr>
        <w:t>קובץ</w:t>
      </w:r>
      <w:r>
        <w:rPr>
          <w:rFonts w:ascii="David" w:hAnsi="David" w:cs="David"/>
          <w:rtl/>
        </w:rPr>
        <w:t xml:space="preserve"> ההגהה יימסר</w:t>
      </w:r>
      <w:r>
        <w:rPr>
          <w:rFonts w:ascii="David" w:hAnsi="David" w:cs="David"/>
          <w:rtl/>
        </w:rPr>
        <w:t xml:space="preserve"> לכותבים</w:t>
      </w:r>
      <w:bookmarkStart w:id="0" w:name="_GoBack"/>
      <w:bookmarkEnd w:id="0"/>
      <w:r>
        <w:rPr>
          <w:rFonts w:ascii="David" w:hAnsi="David" w:cs="David"/>
          <w:rtl/>
        </w:rPr>
        <w:t>, וההגהה הסופית היא באחריותם. אין המערכת מחזירה כתבי יד שלא נתקבלו לדפוס.</w:t>
      </w:r>
    </w:p>
    <w:p w:rsidR="00D0504A" w:rsidRDefault="00DA288C"/>
    <w:sectPr w:rsidR="00D0504A" w:rsidSect="0024351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8C" w:rsidRDefault="00DA288C" w:rsidP="00D643A4">
      <w:r>
        <w:separator/>
      </w:r>
    </w:p>
  </w:endnote>
  <w:endnote w:type="continuationSeparator" w:id="0">
    <w:p w:rsidR="00DA288C" w:rsidRDefault="00DA288C" w:rsidP="00D6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8C" w:rsidRDefault="00DA288C" w:rsidP="00D643A4">
      <w:r>
        <w:separator/>
      </w:r>
    </w:p>
  </w:footnote>
  <w:footnote w:type="continuationSeparator" w:id="0">
    <w:p w:rsidR="00DA288C" w:rsidRDefault="00DA288C" w:rsidP="00D643A4">
      <w:r>
        <w:continuationSeparator/>
      </w:r>
    </w:p>
  </w:footnote>
  <w:footnote w:id="1">
    <w:p w:rsidR="00D643A4" w:rsidRDefault="00D643A4" w:rsidP="00D643A4">
      <w:pPr>
        <w:pStyle w:val="a3"/>
        <w:rPr>
          <w:rFonts w:ascii="Narkisim" w:hAnsi="Narkisim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E7A0E"/>
    <w:multiLevelType w:val="singleLevel"/>
    <w:tmpl w:val="8A70507A"/>
    <w:lvl w:ilvl="0">
      <w:start w:val="1"/>
      <w:numFmt w:val="hebrew1"/>
      <w:lvlText w:val="(%1)"/>
      <w:lvlJc w:val="left"/>
      <w:pPr>
        <w:tabs>
          <w:tab w:val="num" w:pos="726"/>
        </w:tabs>
        <w:ind w:left="726" w:hanging="360"/>
      </w:pPr>
      <w:rPr>
        <w:sz w:val="24"/>
      </w:rPr>
    </w:lvl>
  </w:abstractNum>
  <w:abstractNum w:abstractNumId="1" w15:restartNumberingAfterBreak="0">
    <w:nsid w:val="42032192"/>
    <w:multiLevelType w:val="singleLevel"/>
    <w:tmpl w:val="0BECAA2C"/>
    <w:lvl w:ilvl="0">
      <w:start w:val="5"/>
      <w:numFmt w:val="hebrew1"/>
      <w:lvlText w:val="%1."/>
      <w:lvlJc w:val="left"/>
      <w:pPr>
        <w:tabs>
          <w:tab w:val="num" w:pos="375"/>
        </w:tabs>
        <w:ind w:left="375" w:hanging="375"/>
      </w:pPr>
      <w:rPr>
        <w:sz w:val="24"/>
      </w:rPr>
    </w:lvl>
  </w:abstractNum>
  <w:abstractNum w:abstractNumId="2" w15:restartNumberingAfterBreak="0">
    <w:nsid w:val="53831CE8"/>
    <w:multiLevelType w:val="singleLevel"/>
    <w:tmpl w:val="6082DCEA"/>
    <w:lvl w:ilvl="0">
      <w:start w:val="1"/>
      <w:numFmt w:val="hebrew1"/>
      <w:lvlText w:val="%1."/>
      <w:lvlJc w:val="left"/>
      <w:pPr>
        <w:tabs>
          <w:tab w:val="num" w:pos="375"/>
        </w:tabs>
        <w:ind w:left="375" w:hanging="375"/>
      </w:pPr>
      <w:rPr>
        <w:sz w:val="24"/>
      </w:rPr>
    </w:lvl>
  </w:abstractNum>
  <w:abstractNum w:abstractNumId="3" w15:restartNumberingAfterBreak="0">
    <w:nsid w:val="582A7FDB"/>
    <w:multiLevelType w:val="singleLevel"/>
    <w:tmpl w:val="8B4C457E"/>
    <w:lvl w:ilvl="0">
      <w:start w:val="1"/>
      <w:numFmt w:val="hebrew1"/>
      <w:lvlText w:val="(%1)"/>
      <w:lvlJc w:val="left"/>
      <w:pPr>
        <w:tabs>
          <w:tab w:val="num" w:pos="726"/>
        </w:tabs>
        <w:ind w:left="726" w:hanging="360"/>
      </w:pPr>
      <w:rPr>
        <w:sz w:val="24"/>
      </w:rPr>
    </w:lvl>
  </w:abstractNum>
  <w:abstractNum w:abstractNumId="4" w15:restartNumberingAfterBreak="0">
    <w:nsid w:val="7D5A350C"/>
    <w:multiLevelType w:val="singleLevel"/>
    <w:tmpl w:val="AAFE4A3E"/>
    <w:lvl w:ilvl="0">
      <w:start w:val="1"/>
      <w:numFmt w:val="hebrew1"/>
      <w:lvlText w:val="(%1)"/>
      <w:lvlJc w:val="left"/>
      <w:pPr>
        <w:tabs>
          <w:tab w:val="num" w:pos="726"/>
        </w:tabs>
        <w:ind w:left="726" w:hanging="360"/>
      </w:pPr>
      <w:rPr>
        <w:sz w:val="24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A4"/>
    <w:rsid w:val="002139C9"/>
    <w:rsid w:val="00243512"/>
    <w:rsid w:val="006947F5"/>
    <w:rsid w:val="00D643A4"/>
    <w:rsid w:val="00DA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39610-5393-45C8-9C74-0293E6AB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3A4"/>
    <w:pPr>
      <w:bidi/>
      <w:spacing w:after="0" w:line="240" w:lineRule="auto"/>
    </w:pPr>
    <w:rPr>
      <w:rFonts w:ascii="Times New Roman" w:eastAsia="Times New Roman" w:hAnsi="Times New Roman" w:cs="Narkisim"/>
      <w:noProof/>
      <w:sz w:val="20"/>
      <w:szCs w:val="24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43A4"/>
    <w:rPr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D643A4"/>
    <w:rPr>
      <w:rFonts w:ascii="Times New Roman" w:eastAsia="Times New Roman" w:hAnsi="Times New Roman" w:cs="Narkisim"/>
      <w:noProof/>
      <w:sz w:val="20"/>
      <w:szCs w:val="20"/>
      <w:lang w:eastAsia="he-IL"/>
    </w:rPr>
  </w:style>
  <w:style w:type="paragraph" w:styleId="a5">
    <w:name w:val="Body Text"/>
    <w:basedOn w:val="a"/>
    <w:link w:val="a6"/>
    <w:uiPriority w:val="99"/>
    <w:semiHidden/>
    <w:unhideWhenUsed/>
    <w:rsid w:val="00D643A4"/>
    <w:pPr>
      <w:spacing w:line="360" w:lineRule="auto"/>
    </w:pPr>
    <w:rPr>
      <w:rFonts w:cs="David"/>
    </w:rPr>
  </w:style>
  <w:style w:type="character" w:customStyle="1" w:styleId="a6">
    <w:name w:val="גוף טקסט תו"/>
    <w:basedOn w:val="a0"/>
    <w:link w:val="a5"/>
    <w:uiPriority w:val="99"/>
    <w:semiHidden/>
    <w:rsid w:val="00D643A4"/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styleId="a7">
    <w:name w:val="footnote reference"/>
    <w:basedOn w:val="a0"/>
    <w:uiPriority w:val="99"/>
    <w:semiHidden/>
    <w:unhideWhenUsed/>
    <w:rsid w:val="00D643A4"/>
    <w:rPr>
      <w:vertAlign w:val="superscript"/>
    </w:rPr>
  </w:style>
  <w:style w:type="character" w:styleId="Hyperlink">
    <w:name w:val="Hyperlink"/>
    <w:basedOn w:val="a0"/>
    <w:uiPriority w:val="99"/>
    <w:unhideWhenUsed/>
    <w:rsid w:val="00D64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gut@herzog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29A0C165</Template>
  <TotalTime>11</TotalTime>
  <Pages>3</Pages>
  <Words>748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ברנר איתמר</dc:creator>
  <cp:keywords/>
  <dc:description/>
  <cp:lastModifiedBy>ברנר איתמר</cp:lastModifiedBy>
  <cp:revision>1</cp:revision>
  <dcterms:created xsi:type="dcterms:W3CDTF">2019-10-02T08:29:00Z</dcterms:created>
  <dcterms:modified xsi:type="dcterms:W3CDTF">2019-10-02T08:40:00Z</dcterms:modified>
</cp:coreProperties>
</file>